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CACHET’s logo has a 3-part visual element: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First the title: ‘CACHET’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Second the subtitle: Peintres Décorateurs (no accents)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And a vignette : The Bauhaus style C and D shapes that can be used as a template for watermarking, tapestry and general visual identity.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HEX color codes: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Dark Green:  314732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Light Green:  7a8876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Light Grey:  b7b6b6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Dark Gray:  444445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These can be put together or separate. Stacked or Side by Side.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51694" cy="1342974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51694" cy="13429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58875" cy="969937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8875" cy="9699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830350" cy="90402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0350" cy="9040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244563" cy="161642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4563" cy="1616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